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F81B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256"/>
      </w:tblGrid>
      <w:tr w:rsidR="00390444" w:rsidRPr="00390444" w14:paraId="4A1FC442" w14:textId="77777777" w:rsidTr="00457246">
        <w:trPr>
          <w:trHeight w:val="838"/>
        </w:trPr>
        <w:tc>
          <w:tcPr>
            <w:tcW w:w="10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14:paraId="52BD7AE0" w14:textId="0A4DF523" w:rsidR="00390444" w:rsidRPr="00390444" w:rsidRDefault="00390444" w:rsidP="00390444">
            <w:pPr>
              <w:spacing w:after="0" w:line="240" w:lineRule="auto"/>
              <w:ind w:left="90" w:righ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eastAsia="Times New Roman" w:hAnsi="Franklin Gothic Medium" w:cs="Times New Roman"/>
                <w:color w:val="FFFFFF"/>
                <w:sz w:val="52"/>
                <w:szCs w:val="52"/>
              </w:rPr>
              <w:t xml:space="preserve">Data, Evaluation and Best Practices </w:t>
            </w:r>
          </w:p>
        </w:tc>
      </w:tr>
      <w:tr w:rsidR="00390444" w:rsidRPr="00390444" w14:paraId="52F958BC" w14:textId="77777777" w:rsidTr="00457246">
        <w:trPr>
          <w:trHeight w:val="4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14:paraId="3FB8EC7F" w14:textId="77777777" w:rsidR="00390444" w:rsidRPr="00457246" w:rsidRDefault="00390444" w:rsidP="00390444">
            <w:pPr>
              <w:spacing w:after="0" w:line="240" w:lineRule="auto"/>
              <w:ind w:left="90"/>
              <w:textAlignment w:val="baseline"/>
              <w:rPr>
                <w:rFonts w:eastAsia="Times New Roman" w:cstheme="minorHAnsi"/>
                <w:color w:val="FFFFFF" w:themeColor="background1"/>
              </w:rPr>
            </w:pPr>
            <w:r w:rsidRPr="00457246">
              <w:rPr>
                <w:rFonts w:eastAsia="Times New Roman" w:cstheme="minorHAnsi"/>
                <w:color w:val="FFFFFF" w:themeColor="background1"/>
              </w:rPr>
              <w:t>Date: </w:t>
            </w: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14:paraId="345599C8" w14:textId="4DE2B0CE" w:rsidR="00390444" w:rsidRPr="00457246" w:rsidRDefault="00390444" w:rsidP="00457246">
            <w:pPr>
              <w:spacing w:after="0" w:line="240" w:lineRule="auto"/>
              <w:textAlignment w:val="baseline"/>
              <w:rPr>
                <w:rFonts w:eastAsia="Times New Roman" w:cstheme="minorHAnsi"/>
                <w:color w:val="FFFFFF" w:themeColor="background1"/>
              </w:rPr>
            </w:pPr>
            <w:r w:rsidRPr="00457246">
              <w:rPr>
                <w:rFonts w:eastAsia="Times New Roman" w:cstheme="minorHAnsi"/>
                <w:color w:val="FFFFFF" w:themeColor="background1"/>
              </w:rPr>
              <w:t>9/2</w:t>
            </w:r>
            <w:r w:rsidR="00512018">
              <w:rPr>
                <w:rFonts w:eastAsia="Times New Roman" w:cstheme="minorHAnsi"/>
                <w:color w:val="FFFFFF" w:themeColor="background1"/>
              </w:rPr>
              <w:t>9</w:t>
            </w:r>
            <w:r w:rsidRPr="00457246">
              <w:rPr>
                <w:rFonts w:eastAsia="Times New Roman" w:cstheme="minorHAnsi"/>
                <w:color w:val="FFFFFF" w:themeColor="background1"/>
              </w:rPr>
              <w:t>/2020 </w:t>
            </w:r>
          </w:p>
        </w:tc>
      </w:tr>
      <w:tr w:rsidR="00390444" w:rsidRPr="00390444" w14:paraId="05DAC124" w14:textId="77777777" w:rsidTr="00457246">
        <w:trPr>
          <w:trHeight w:val="29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14:paraId="3978F0D6" w14:textId="77777777" w:rsidR="00457246" w:rsidRPr="00457246" w:rsidRDefault="00390444" w:rsidP="00390444">
            <w:pPr>
              <w:spacing w:after="0" w:line="240" w:lineRule="auto"/>
              <w:ind w:left="90" w:right="315"/>
              <w:textAlignment w:val="baseline"/>
              <w:rPr>
                <w:rFonts w:eastAsia="Times New Roman" w:cstheme="minorHAnsi"/>
                <w:color w:val="FFFFFF" w:themeColor="background1"/>
              </w:rPr>
            </w:pPr>
            <w:r w:rsidRPr="00457246">
              <w:rPr>
                <w:rFonts w:eastAsia="Times New Roman" w:cstheme="minorHAnsi"/>
                <w:color w:val="FFFFFF" w:themeColor="background1"/>
              </w:rPr>
              <w:t>Time: </w:t>
            </w:r>
          </w:p>
          <w:p w14:paraId="42CDFE49" w14:textId="5BBD69F2" w:rsidR="00390444" w:rsidRPr="00457246" w:rsidRDefault="00390444" w:rsidP="00390444">
            <w:pPr>
              <w:spacing w:after="0" w:line="240" w:lineRule="auto"/>
              <w:ind w:left="90" w:right="315"/>
              <w:textAlignment w:val="baseline"/>
              <w:rPr>
                <w:rFonts w:eastAsia="Times New Roman" w:cstheme="minorHAnsi"/>
                <w:color w:val="FFFFFF" w:themeColor="background1"/>
              </w:rPr>
            </w:pP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14:paraId="73A11620" w14:textId="05A61F00" w:rsidR="00390444" w:rsidRPr="00457246" w:rsidRDefault="00457246" w:rsidP="0045724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FFFFFF" w:themeColor="background1"/>
              </w:rPr>
            </w:pPr>
            <w:r w:rsidRPr="00457246">
              <w:rPr>
                <w:rFonts w:eastAsia="Times New Roman" w:cstheme="minorHAnsi"/>
                <w:color w:val="FFFFFF" w:themeColor="background1"/>
              </w:rPr>
              <w:t>1-2pm</w:t>
            </w:r>
          </w:p>
        </w:tc>
      </w:tr>
      <w:tr w:rsidR="00390444" w:rsidRPr="00390444" w14:paraId="1A8EDF1D" w14:textId="77777777" w:rsidTr="00457246">
        <w:trPr>
          <w:trHeight w:val="5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14:paraId="34302AC4" w14:textId="77777777" w:rsidR="00390444" w:rsidRPr="00457246" w:rsidRDefault="00390444" w:rsidP="00390444">
            <w:pPr>
              <w:spacing w:after="0" w:line="240" w:lineRule="auto"/>
              <w:ind w:left="90" w:right="315"/>
              <w:textAlignment w:val="baseline"/>
              <w:rPr>
                <w:rFonts w:eastAsia="Times New Roman" w:cstheme="minorHAnsi"/>
                <w:color w:val="FFFFFF" w:themeColor="background1"/>
              </w:rPr>
            </w:pPr>
            <w:r w:rsidRPr="00457246">
              <w:rPr>
                <w:rFonts w:eastAsia="Times New Roman" w:cstheme="minorHAnsi"/>
                <w:color w:val="FFFFFF" w:themeColor="background1"/>
              </w:rPr>
              <w:t>Location: </w:t>
            </w: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7220"/>
            </w:tblGrid>
            <w:tr w:rsidR="00457246" w:rsidRPr="00457246" w14:paraId="3C414DF8" w14:textId="77777777" w:rsidTr="00457246">
              <w:trPr>
                <w:trHeight w:val="264"/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14:paraId="4F944C4D" w14:textId="77777777" w:rsidR="00457246" w:rsidRPr="00457246" w:rsidRDefault="00457246" w:rsidP="00457246">
                  <w:pPr>
                    <w:spacing w:line="300" w:lineRule="atLeast"/>
                    <w:rPr>
                      <w:rFonts w:cstheme="minorHAnsi"/>
                      <w:color w:val="FFFFFF" w:themeColor="background1"/>
                    </w:rPr>
                  </w:pPr>
                  <w:r w:rsidRPr="00457246">
                    <w:rPr>
                      <w:rFonts w:cstheme="minorHAnsi"/>
                      <w:color w:val="FFFFFF" w:themeColor="background1"/>
                    </w:rPr>
                    <w:t xml:space="preserve">Meeting URL: </w:t>
                  </w:r>
                </w:p>
              </w:tc>
              <w:tc>
                <w:tcPr>
                  <w:tcW w:w="3900" w:type="pct"/>
                  <w:hideMark/>
                </w:tcPr>
                <w:p w14:paraId="073FF908" w14:textId="1EC366CC" w:rsidR="00457246" w:rsidRPr="00457246" w:rsidRDefault="0040399E" w:rsidP="00457246">
                  <w:pPr>
                    <w:spacing w:line="300" w:lineRule="atLeast"/>
                    <w:rPr>
                      <w:rFonts w:cstheme="minorHAnsi"/>
                      <w:color w:val="FFFFFF" w:themeColor="background1"/>
                    </w:rPr>
                  </w:pPr>
                  <w:hyperlink r:id="rId5" w:tgtFrame="_blank" w:history="1">
                    <w:r w:rsidR="003E38FC" w:rsidRPr="003E38FC">
                      <w:rPr>
                        <w:rStyle w:val="Hyperlink"/>
                        <w:color w:val="FFFFFF" w:themeColor="background1"/>
                      </w:rPr>
                      <w:t>https://healthmanagement.zoom.us/j/91271393398?pwd=ZlhQTC9qYnB3aklhU3NWZWFVTjFJQT09</w:t>
                    </w:r>
                  </w:hyperlink>
                  <w:r w:rsidR="003E38FC" w:rsidRPr="003E38FC">
                    <w:rPr>
                      <w:color w:val="FFFFFF" w:themeColor="background1"/>
                    </w:rPr>
                    <w:t xml:space="preserve"> </w:t>
                  </w:r>
                </w:p>
              </w:tc>
            </w:tr>
            <w:tr w:rsidR="00457246" w:rsidRPr="00457246" w14:paraId="2E428038" w14:textId="77777777" w:rsidTr="00457246">
              <w:trPr>
                <w:trHeight w:val="264"/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14:paraId="3059076D" w14:textId="77777777" w:rsidR="00457246" w:rsidRPr="00457246" w:rsidRDefault="00457246" w:rsidP="00457246">
                  <w:pPr>
                    <w:rPr>
                      <w:rFonts w:cstheme="minorHAnsi"/>
                      <w:color w:val="FFFFFF" w:themeColor="background1"/>
                    </w:rPr>
                  </w:pPr>
                  <w:r w:rsidRPr="00457246">
                    <w:rPr>
                      <w:rFonts w:cstheme="minorHAnsi"/>
                      <w:color w:val="FFFFFF" w:themeColor="background1"/>
                    </w:rPr>
                    <w:t xml:space="preserve">Meeting ID: </w:t>
                  </w:r>
                </w:p>
              </w:tc>
              <w:tc>
                <w:tcPr>
                  <w:tcW w:w="3900" w:type="pct"/>
                  <w:hideMark/>
                </w:tcPr>
                <w:p w14:paraId="627E9C63" w14:textId="77777777" w:rsidR="00457246" w:rsidRPr="00457246" w:rsidRDefault="00457246" w:rsidP="00457246">
                  <w:pPr>
                    <w:rPr>
                      <w:rFonts w:cstheme="minorHAnsi"/>
                      <w:color w:val="FFFFFF" w:themeColor="background1"/>
                    </w:rPr>
                  </w:pPr>
                  <w:r w:rsidRPr="00457246">
                    <w:rPr>
                      <w:rFonts w:cstheme="minorHAnsi"/>
                      <w:color w:val="FFFFFF" w:themeColor="background1"/>
                    </w:rPr>
                    <w:t>912 7139 3398</w:t>
                  </w:r>
                </w:p>
              </w:tc>
            </w:tr>
            <w:tr w:rsidR="00457246" w:rsidRPr="00457246" w14:paraId="2ADC392B" w14:textId="77777777" w:rsidTr="00457246">
              <w:trPr>
                <w:trHeight w:val="264"/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14:paraId="483DC0A8" w14:textId="77777777" w:rsidR="00457246" w:rsidRPr="00457246" w:rsidRDefault="00457246" w:rsidP="00457246">
                  <w:pPr>
                    <w:rPr>
                      <w:rFonts w:cstheme="minorHAnsi"/>
                      <w:color w:val="FFFFFF" w:themeColor="background1"/>
                    </w:rPr>
                  </w:pPr>
                  <w:r w:rsidRPr="00457246">
                    <w:rPr>
                      <w:rFonts w:cstheme="minorHAnsi"/>
                      <w:color w:val="FFFFFF" w:themeColor="background1"/>
                    </w:rPr>
                    <w:t>Passcode:</w:t>
                  </w:r>
                </w:p>
              </w:tc>
              <w:tc>
                <w:tcPr>
                  <w:tcW w:w="3900" w:type="pct"/>
                  <w:hideMark/>
                </w:tcPr>
                <w:p w14:paraId="0414BE7B" w14:textId="77777777" w:rsidR="00457246" w:rsidRPr="00457246" w:rsidRDefault="00457246" w:rsidP="00457246">
                  <w:pPr>
                    <w:rPr>
                      <w:rFonts w:cstheme="minorHAnsi"/>
                      <w:color w:val="FFFFFF" w:themeColor="background1"/>
                    </w:rPr>
                  </w:pPr>
                  <w:r w:rsidRPr="00457246">
                    <w:rPr>
                      <w:rFonts w:cstheme="minorHAnsi"/>
                      <w:color w:val="FFFFFF" w:themeColor="background1"/>
                    </w:rPr>
                    <w:t>894728</w:t>
                  </w:r>
                </w:p>
              </w:tc>
            </w:tr>
          </w:tbl>
          <w:p w14:paraId="36E56CE2" w14:textId="6986D1DC" w:rsidR="00390444" w:rsidRPr="00457246" w:rsidRDefault="00390444" w:rsidP="00390444">
            <w:pPr>
              <w:spacing w:after="0" w:line="240" w:lineRule="auto"/>
              <w:ind w:left="90"/>
              <w:jc w:val="both"/>
              <w:textAlignment w:val="baseline"/>
              <w:rPr>
                <w:rFonts w:eastAsia="Times New Roman" w:cstheme="minorHAnsi"/>
                <w:color w:val="FFFFFF" w:themeColor="background1"/>
              </w:rPr>
            </w:pPr>
          </w:p>
        </w:tc>
      </w:tr>
      <w:tr w:rsidR="00390444" w:rsidRPr="00390444" w14:paraId="50502F03" w14:textId="77777777" w:rsidTr="00457246">
        <w:trPr>
          <w:trHeight w:val="5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14:paraId="76121A2C" w14:textId="294EDCEB" w:rsidR="00390444" w:rsidRPr="003E38FC" w:rsidRDefault="00390444" w:rsidP="00390444">
            <w:pPr>
              <w:spacing w:after="0" w:line="240" w:lineRule="auto"/>
              <w:ind w:left="90"/>
              <w:textAlignment w:val="baseline"/>
              <w:rPr>
                <w:rFonts w:eastAsia="Times New Roman" w:cstheme="minorHAnsi"/>
              </w:rPr>
            </w:pPr>
            <w:r w:rsidRPr="003E38FC">
              <w:rPr>
                <w:rFonts w:eastAsia="Times New Roman" w:cstheme="minorHAnsi"/>
                <w:color w:val="FFFFFF"/>
              </w:rPr>
              <w:t>Facilitator: </w:t>
            </w: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14:paraId="2F83047E" w14:textId="494B7035" w:rsidR="00390444" w:rsidRPr="003E38FC" w:rsidRDefault="00842C9C" w:rsidP="00390444">
            <w:pPr>
              <w:spacing w:after="0" w:line="240" w:lineRule="auto"/>
              <w:ind w:left="90"/>
              <w:textAlignment w:val="baseline"/>
              <w:rPr>
                <w:rFonts w:eastAsia="Times New Roman" w:cstheme="minorHAnsi"/>
              </w:rPr>
            </w:pPr>
            <w:r w:rsidRPr="003E38FC">
              <w:rPr>
                <w:rFonts w:eastAsia="Times New Roman" w:cstheme="minorHAnsi"/>
                <w:color w:val="FFFFFF"/>
              </w:rPr>
              <w:t>DIANA RODIN</w:t>
            </w:r>
          </w:p>
        </w:tc>
      </w:tr>
    </w:tbl>
    <w:p w14:paraId="2F286CBE" w14:textId="77777777" w:rsidR="00390444" w:rsidRPr="00390444" w:rsidRDefault="00390444" w:rsidP="0039044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</w:rPr>
      </w:pPr>
      <w:r w:rsidRPr="00390444">
        <w:rPr>
          <w:noProof/>
        </w:rPr>
        <w:drawing>
          <wp:inline distT="0" distB="0" distL="0" distR="0" wp14:anchorId="7B1A9EF0" wp14:editId="47504A5C">
            <wp:extent cx="7781925" cy="2009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44">
        <w:rPr>
          <w:rFonts w:ascii="Calibri" w:eastAsia="Times New Roman" w:hAnsi="Calibri" w:cs="Calibri"/>
          <w:b/>
          <w:bCs/>
          <w:color w:val="16406C"/>
          <w:sz w:val="60"/>
          <w:szCs w:val="60"/>
        </w:rPr>
        <w:t>Agenda </w:t>
      </w:r>
    </w:p>
    <w:p w14:paraId="6F37F3E5" w14:textId="55768EF2" w:rsidR="00B370F4" w:rsidRPr="008138AA" w:rsidRDefault="00390444" w:rsidP="00390444">
      <w:pPr>
        <w:numPr>
          <w:ilvl w:val="0"/>
          <w:numId w:val="1"/>
        </w:numPr>
        <w:spacing w:after="0" w:line="240" w:lineRule="auto"/>
        <w:ind w:left="810" w:firstLine="0"/>
        <w:textAlignment w:val="baseline"/>
        <w:rPr>
          <w:rFonts w:ascii="Calibri" w:eastAsia="Times New Roman" w:hAnsi="Calibri" w:cs="Calibri"/>
          <w:sz w:val="32"/>
          <w:szCs w:val="32"/>
        </w:rPr>
      </w:pPr>
      <w:r w:rsidRPr="00390444">
        <w:rPr>
          <w:rFonts w:ascii="Calibri" w:eastAsia="Times New Roman" w:hAnsi="Calibri" w:cs="Calibri"/>
          <w:b/>
          <w:bCs/>
          <w:sz w:val="32"/>
          <w:szCs w:val="32"/>
        </w:rPr>
        <w:t>Welcome and Call to Order</w:t>
      </w:r>
    </w:p>
    <w:p w14:paraId="4606CEEE" w14:textId="77777777" w:rsidR="00FB47C7" w:rsidRDefault="008138AA" w:rsidP="008138AA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138AA">
        <w:rPr>
          <w:rFonts w:ascii="Calibri" w:eastAsia="Times New Roman" w:hAnsi="Calibri" w:cs="Calibri"/>
        </w:rPr>
        <w:t>Are participants comfortable with meetings being recorded?</w:t>
      </w:r>
      <w:r w:rsidR="00FB47C7">
        <w:rPr>
          <w:rFonts w:ascii="Calibri" w:eastAsia="Times New Roman" w:hAnsi="Calibri" w:cs="Calibri"/>
        </w:rPr>
        <w:t xml:space="preserve"> </w:t>
      </w:r>
    </w:p>
    <w:p w14:paraId="4056BCD2" w14:textId="686000AD" w:rsidR="008138AA" w:rsidRPr="008138AA" w:rsidRDefault="00FB47C7" w:rsidP="00FB47C7">
      <w:pPr>
        <w:numPr>
          <w:ilvl w:val="2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4472C4" w:themeColor="accent1"/>
        </w:rPr>
        <w:t>Yes, recorded</w:t>
      </w:r>
    </w:p>
    <w:p w14:paraId="3CE08905" w14:textId="48F10248" w:rsidR="00390444" w:rsidRPr="00390444" w:rsidRDefault="003E38FC" w:rsidP="00390444">
      <w:pPr>
        <w:numPr>
          <w:ilvl w:val="0"/>
          <w:numId w:val="1"/>
        </w:numPr>
        <w:spacing w:after="0" w:line="240" w:lineRule="auto"/>
        <w:ind w:left="810" w:firstLine="0"/>
        <w:textAlignment w:val="baseline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Timeline/Process Update from the Co-Chairs</w:t>
      </w:r>
    </w:p>
    <w:p w14:paraId="0CF5500C" w14:textId="299C7304" w:rsidR="00390444" w:rsidRPr="003E38FC" w:rsidRDefault="003E38FC" w:rsidP="00390444">
      <w:pPr>
        <w:numPr>
          <w:ilvl w:val="0"/>
          <w:numId w:val="1"/>
        </w:numPr>
        <w:spacing w:after="0" w:line="240" w:lineRule="auto"/>
        <w:ind w:left="810" w:firstLine="0"/>
        <w:textAlignment w:val="baseline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Literature Review Reminder </w:t>
      </w:r>
    </w:p>
    <w:p w14:paraId="4B3B9496" w14:textId="1119F4CD" w:rsidR="00BC2AEE" w:rsidRDefault="003018F4" w:rsidP="007E5ABA">
      <w:pPr>
        <w:numPr>
          <w:ilvl w:val="1"/>
          <w:numId w:val="1"/>
        </w:numPr>
        <w:spacing w:after="0" w:line="240" w:lineRule="auto"/>
        <w:textAlignment w:val="baseline"/>
        <w:rPr>
          <w:rStyle w:val="Hyperlink"/>
          <w:rFonts w:ascii="Calibri" w:eastAsia="Times New Roman" w:hAnsi="Calibri" w:cs="Calibri"/>
          <w:color w:val="auto"/>
          <w:u w:val="none"/>
        </w:rPr>
      </w:pPr>
      <w:r w:rsidRPr="003018F4">
        <w:rPr>
          <w:rFonts w:ascii="Calibri" w:eastAsia="Times New Roman" w:hAnsi="Calibri" w:cs="Calibri"/>
        </w:rPr>
        <w:t xml:space="preserve">Full literature review available in the </w:t>
      </w:r>
      <w:hyperlink r:id="rId7" w:history="1">
        <w:r w:rsidRPr="003018F4">
          <w:rPr>
            <w:rStyle w:val="Hyperlink"/>
            <w:rFonts w:ascii="Calibri" w:eastAsia="Times New Roman" w:hAnsi="Calibri" w:cs="Calibri"/>
          </w:rPr>
          <w:t>digital binder</w:t>
        </w:r>
      </w:hyperlink>
      <w:r w:rsidR="00BC2AEE">
        <w:rPr>
          <w:rStyle w:val="Hyperlink"/>
          <w:rFonts w:ascii="Calibri" w:eastAsia="Times New Roman" w:hAnsi="Calibri" w:cs="Calibri"/>
        </w:rPr>
        <w:t>.</w:t>
      </w:r>
      <w:r w:rsidR="00BC2AEE" w:rsidRPr="00BC2AEE">
        <w:t xml:space="preserve"> For next week:</w:t>
      </w:r>
      <w:r w:rsidR="007E5ABA">
        <w:rPr>
          <w:rStyle w:val="Hyperlink"/>
          <w:rFonts w:ascii="Calibri" w:eastAsia="Times New Roman" w:hAnsi="Calibri" w:cs="Calibri"/>
          <w:color w:val="auto"/>
          <w:u w:val="none"/>
        </w:rPr>
        <w:t xml:space="preserve"> </w:t>
      </w:r>
    </w:p>
    <w:p w14:paraId="5B75B95E" w14:textId="47C00A78" w:rsidR="007E5ABA" w:rsidRPr="007E5ABA" w:rsidRDefault="00BC2AEE" w:rsidP="00BC2AEE">
      <w:pPr>
        <w:numPr>
          <w:ilvl w:val="2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Style w:val="Hyperlink"/>
          <w:rFonts w:ascii="Calibri" w:eastAsia="Times New Roman" w:hAnsi="Calibri" w:cs="Calibri"/>
          <w:color w:val="auto"/>
          <w:u w:val="none"/>
        </w:rPr>
        <w:t>P</w:t>
      </w:r>
      <w:r w:rsidR="007E5ABA" w:rsidRPr="007E5ABA">
        <w:t>lease review pages 16-19 on best practices</w:t>
      </w:r>
    </w:p>
    <w:p w14:paraId="2F8A5BB7" w14:textId="43DFC918" w:rsidR="00BC2AEE" w:rsidRDefault="007E5ABA" w:rsidP="007E5ABA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Best practices matrix</w:t>
      </w:r>
      <w:r w:rsidR="008F754E">
        <w:rPr>
          <w:rFonts w:ascii="Calibri" w:eastAsia="Times New Roman" w:hAnsi="Calibri" w:cs="Calibri"/>
        </w:rPr>
        <w:t xml:space="preserve"> (to be emailed in follow-up)</w:t>
      </w:r>
    </w:p>
    <w:p w14:paraId="041A06F6" w14:textId="69ED4462" w:rsidR="007E5ABA" w:rsidRPr="003018F4" w:rsidRDefault="00BC2AEE" w:rsidP="00BC2AEE">
      <w:pPr>
        <w:numPr>
          <w:ilvl w:val="2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7E5ABA">
        <w:rPr>
          <w:rFonts w:ascii="Calibri" w:eastAsia="Times New Roman" w:hAnsi="Calibri" w:cs="Calibri"/>
        </w:rPr>
        <w:t>lease review the best practices and competencies tabs</w:t>
      </w:r>
    </w:p>
    <w:p w14:paraId="65D376C4" w14:textId="3741EF92" w:rsidR="003E38FC" w:rsidRPr="003E38FC" w:rsidRDefault="003E38FC" w:rsidP="00390444">
      <w:pPr>
        <w:numPr>
          <w:ilvl w:val="0"/>
          <w:numId w:val="1"/>
        </w:numPr>
        <w:spacing w:after="0" w:line="240" w:lineRule="auto"/>
        <w:ind w:left="810" w:firstLine="0"/>
        <w:textAlignment w:val="baseline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Brainstorm in Response to Research Questions </w:t>
      </w:r>
    </w:p>
    <w:p w14:paraId="486D23BA" w14:textId="65D1D654" w:rsidR="003E38FC" w:rsidRPr="003018F4" w:rsidRDefault="003E38FC" w:rsidP="003E38FC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8F4">
        <w:rPr>
          <w:rFonts w:ascii="Calibri" w:eastAsia="Times New Roman" w:hAnsi="Calibri" w:cs="Calibri"/>
        </w:rPr>
        <w:t xml:space="preserve">Research questions include: </w:t>
      </w:r>
    </w:p>
    <w:p w14:paraId="01A006D9" w14:textId="77777777" w:rsidR="003E38FC" w:rsidRDefault="003E38FC" w:rsidP="003E38FC">
      <w:pPr>
        <w:pStyle w:val="paragraph"/>
        <w:spacing w:before="120" w:beforeAutospacing="0" w:after="0" w:afterAutospacing="0"/>
        <w:ind w:left="153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Data Questions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336C4D" w14:textId="13649779" w:rsidR="003E38FC" w:rsidRDefault="003E38FC" w:rsidP="003E38FC">
      <w:pPr>
        <w:pStyle w:val="paragraph"/>
        <w:numPr>
          <w:ilvl w:val="2"/>
          <w:numId w:val="27"/>
        </w:numPr>
        <w:spacing w:before="12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SBWCs are providing both behavioral health and physical health services – what is the impact of those services on attendance, behavior? (</w:t>
      </w:r>
      <w:r w:rsidR="00D11A6E">
        <w:rPr>
          <w:rStyle w:val="normaltextrun"/>
          <w:rFonts w:ascii="Calibri" w:hAnsi="Calibri" w:cs="Calibri"/>
          <w:sz w:val="22"/>
          <w:szCs w:val="22"/>
        </w:rPr>
        <w:t xml:space="preserve">Christiana </w:t>
      </w:r>
      <w:r>
        <w:rPr>
          <w:rStyle w:val="normaltextrun"/>
          <w:rFonts w:ascii="Calibri" w:hAnsi="Calibri" w:cs="Calibri"/>
          <w:sz w:val="22"/>
          <w:szCs w:val="22"/>
        </w:rPr>
        <w:t xml:space="preserve">has examined this for Red Clay and </w:t>
      </w:r>
      <w:r w:rsidR="00D11A6E">
        <w:rPr>
          <w:rStyle w:val="normaltextrun"/>
          <w:rFonts w:ascii="Calibri" w:hAnsi="Calibri" w:cs="Calibri"/>
          <w:sz w:val="22"/>
          <w:szCs w:val="22"/>
        </w:rPr>
        <w:t xml:space="preserve">Nemours </w:t>
      </w:r>
      <w:r w:rsidR="00D11A6E">
        <w:rPr>
          <w:rStyle w:val="normaltextrun"/>
          <w:rFonts w:ascii="Calibri" w:hAnsi="Calibri" w:cs="Calibri"/>
          <w:sz w:val="22"/>
          <w:szCs w:val="22"/>
        </w:rPr>
        <w:t xml:space="preserve">for </w:t>
      </w:r>
      <w:r>
        <w:rPr>
          <w:rStyle w:val="normaltextrun"/>
          <w:rFonts w:ascii="Calibri" w:hAnsi="Calibri" w:cs="Calibri"/>
          <w:sz w:val="22"/>
          <w:szCs w:val="22"/>
        </w:rPr>
        <w:t>Colonial)</w:t>
      </w:r>
      <w:r w:rsidRPr="00F543DF">
        <w:rPr>
          <w:rStyle w:val="normaltextrun"/>
        </w:rPr>
        <w:t> </w:t>
      </w:r>
    </w:p>
    <w:p w14:paraId="34B5C974" w14:textId="7E8D6F86" w:rsidR="00785E91" w:rsidRPr="00785E91" w:rsidRDefault="00785E91" w:rsidP="00785E91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lastRenderedPageBreak/>
        <w:t>When talking about attendance and behavior, are we talking about b</w:t>
      </w:r>
      <w:r w:rsidR="00D11A6E"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efore and after metrics?</w:t>
      </w: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4CE3F730" w14:textId="4C2BF522" w:rsidR="00D11A6E" w:rsidRPr="00E0348B" w:rsidRDefault="00D11A6E" w:rsidP="00D11A6E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F</w:t>
      </w:r>
      <w:r w:rsid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or Warner Shortridge (?) </w:t>
      </w: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we do have a baseline, and they do have a baseline for the Colonia</w:t>
      </w:r>
      <w:r w:rsid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l</w:t>
      </w: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schools. Wouldn’t be able to </w:t>
      </w:r>
      <w:r w:rsid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get baseline for HS unless you built a new school</w:t>
      </w:r>
    </w:p>
    <w:p w14:paraId="375EA87C" w14:textId="7C3109FE" w:rsidR="00D11A6E" w:rsidRPr="00E0348B" w:rsidRDefault="00D11A6E" w:rsidP="00785E91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Each HS is different in how they refer to behavior specialist. Need to be careful in counting referrals</w:t>
      </w:r>
    </w:p>
    <w:p w14:paraId="00593CFA" w14:textId="26635733" w:rsidR="00D11A6E" w:rsidRPr="00E0348B" w:rsidRDefault="00D11A6E" w:rsidP="00785E91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In Colonial, they looked at referrals at Eisen</w:t>
      </w:r>
      <w:r w:rsid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berg</w:t>
      </w: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for discipline and </w:t>
      </w:r>
      <w:r w:rsid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the fact that they went </w:t>
      </w: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dow</w:t>
      </w:r>
      <w:r w:rsid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n—one school’s rules</w:t>
      </w: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48D53A98" w14:textId="5ED89047" w:rsidR="00D11A6E" w:rsidRPr="00E0348B" w:rsidRDefault="00D11A6E" w:rsidP="00785E91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Good Point: it will differ from school to school what it means</w:t>
      </w:r>
    </w:p>
    <w:p w14:paraId="5D6D1FFF" w14:textId="3D2A07F1" w:rsidR="00785E91" w:rsidRPr="00785E91" w:rsidRDefault="00785E91" w:rsidP="00D11A6E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Data that links students participating </w:t>
      </w: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in interventions and outcomes – Christiana works with the Data Service Center to get this </w:t>
      </w:r>
    </w:p>
    <w:p w14:paraId="38B74001" w14:textId="77777777" w:rsidR="00785E91" w:rsidRPr="00785E91" w:rsidRDefault="00D11A6E" w:rsidP="00785E91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Christiana analysis—any </w:t>
      </w:r>
      <w:r w:rsid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other </w:t>
      </w: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findings to highlight? </w:t>
      </w:r>
    </w:p>
    <w:p w14:paraId="3523E097" w14:textId="7498984A" w:rsidR="00D11A6E" w:rsidRPr="00785E91" w:rsidRDefault="00D11A6E" w:rsidP="00785E91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Warner is the first year, second year </w:t>
      </w:r>
      <w:r w:rsidR="00785E91"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haven’t</w:t>
      </w:r>
      <w:r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done </w:t>
      </w:r>
      <w:proofErr w:type="spellStart"/>
      <w:r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bc</w:t>
      </w:r>
      <w:proofErr w:type="spellEnd"/>
      <w:r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of COVID so really </w:t>
      </w:r>
      <w:proofErr w:type="gramStart"/>
      <w:r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cant</w:t>
      </w:r>
      <w:proofErr w:type="gramEnd"/>
      <w:r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make any comparison or share anything other than anecdotally they are thrilled to have </w:t>
      </w:r>
      <w:r w:rsidR="00785E91"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SBWC</w:t>
      </w:r>
      <w:r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6707AC23" w14:textId="1D17329D" w:rsidR="00D11A6E" w:rsidRPr="00E0348B" w:rsidRDefault="00D11A6E" w:rsidP="00785E91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Colonia</w:t>
      </w:r>
      <w:r w:rsidR="00785E91"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l</w:t>
      </w:r>
      <w:r w:rsidRPr="00785E9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does have solid data</w:t>
      </w: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—</w:t>
      </w:r>
      <w:r w:rsidRPr="00785E91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who has? Can we get it?</w:t>
      </w:r>
    </w:p>
    <w:p w14:paraId="579A3E6C" w14:textId="79C3E23C" w:rsidR="00D11A6E" w:rsidRPr="00E0348B" w:rsidRDefault="00D11A6E" w:rsidP="00785E91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It would be helpful to know how Colonia collected the data, for how long, etc. </w:t>
      </w:r>
    </w:p>
    <w:p w14:paraId="6ACB075D" w14:textId="7374B8A2" w:rsidR="00D11A6E" w:rsidRPr="00E0348B" w:rsidRDefault="00D11A6E" w:rsidP="00D11A6E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Make sure attendance means the same thing across districts—may have some discrepancies there </w:t>
      </w:r>
    </w:p>
    <w:p w14:paraId="5279F15D" w14:textId="19440375" w:rsidR="00751D08" w:rsidRPr="00FC6ED7" w:rsidRDefault="00751D08" w:rsidP="00FC6ED7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Behavior- they were looking at suspensions and expulsions and seeing ties to SBWC. They </w:t>
      </w:r>
      <w:proofErr w:type="gramStart"/>
      <w:r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have to</w:t>
      </w:r>
      <w:proofErr w:type="gramEnd"/>
      <w:r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have PBS </w:t>
      </w:r>
      <w:r w:rsidR="00141C84"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in place </w:t>
      </w:r>
      <w:r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to help kids mitigate some</w:t>
      </w:r>
      <w:r w:rsidR="00141C84"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of these</w:t>
      </w:r>
      <w:r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consequences. If suspensions and expulsions get to</w:t>
      </w:r>
      <w:r w:rsidR="00141C84"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o</w:t>
      </w:r>
      <w:r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high, they </w:t>
      </w:r>
      <w:proofErr w:type="gramStart"/>
      <w:r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have to</w:t>
      </w:r>
      <w:proofErr w:type="gramEnd"/>
      <w:r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have a plan</w:t>
      </w:r>
      <w:r w:rsidR="00141C84"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to minimize them</w:t>
      </w:r>
      <w:r w:rsidRPr="00FC6E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. </w:t>
      </w:r>
    </w:p>
    <w:p w14:paraId="5FDC1B75" w14:textId="47917F31" w:rsidR="00751D08" w:rsidRPr="00E0348B" w:rsidRDefault="00141C84" w:rsidP="00751D08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1) </w:t>
      </w:r>
      <w:r w:rsidR="00751D08"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How is behavior related to SBWC</w:t>
      </w: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, 2)</w:t>
      </w:r>
      <w:r w:rsidR="00751D08"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and are administrators and teachers recording </w:t>
      </w: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the </w:t>
      </w:r>
      <w:r w:rsidR="00751D08"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behavior issues? </w:t>
      </w:r>
    </w:p>
    <w:p w14:paraId="3FD1C96B" w14:textId="6DEC6B5E" w:rsidR="00751D08" w:rsidRPr="00E0348B" w:rsidRDefault="00751D08" w:rsidP="00751D08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Districts aren’t always honest so that their numbers aren’t so high</w:t>
      </w:r>
    </w:p>
    <w:p w14:paraId="21DFE6E4" w14:textId="64E28215" w:rsidR="00751D08" w:rsidRPr="00E0348B" w:rsidRDefault="00751D08" w:rsidP="00751D08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Underreporting/no reporting</w:t>
      </w:r>
    </w:p>
    <w:p w14:paraId="60A546E1" w14:textId="3E9E9C99" w:rsidR="00751D08" w:rsidRPr="00141C84" w:rsidRDefault="00141C84" w:rsidP="00141C84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141C8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A better question might be h</w:t>
      </w:r>
      <w:r w:rsidR="00751D08" w:rsidRPr="00141C8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ow does the teacher believe the student is behaving in the classroom from the start to end of the year? </w:t>
      </w:r>
    </w:p>
    <w:p w14:paraId="567AB245" w14:textId="24BCB9D8" w:rsidR="00751D08" w:rsidRPr="00E0348B" w:rsidRDefault="00751D08" w:rsidP="00751D08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Anecdotal</w:t>
      </w:r>
      <w:r w:rsidR="00141C8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, but if student is seeing SW on ongoing basis how has their behavior improved? </w:t>
      </w:r>
    </w:p>
    <w:p w14:paraId="6ACB01E3" w14:textId="7C3C9473" w:rsidR="00751D08" w:rsidRPr="00E0348B" w:rsidRDefault="00FC6ED7" w:rsidP="00751D08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Academic data: </w:t>
      </w:r>
      <w:r w:rsidR="00751D08"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Colonial was looking at test scores. Trying to make a correlation, but how do you capture that data with integrity? Is test scores the way to measure (and if no, how?)</w:t>
      </w:r>
    </w:p>
    <w:p w14:paraId="3EF227A2" w14:textId="0F30E233" w:rsidR="002A6BD7" w:rsidRPr="002A6BD7" w:rsidRDefault="00751D08" w:rsidP="002A6BD7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lastRenderedPageBreak/>
        <w:t xml:space="preserve">Don’t want to act like if you open a SBWC you’re going to have huge academic outcomes </w:t>
      </w:r>
    </w:p>
    <w:p w14:paraId="7FA8408F" w14:textId="4D812B4D" w:rsidR="00751D08" w:rsidRPr="00E0348B" w:rsidRDefault="00751D08" w:rsidP="00FC6ED7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Causal pathways argument is problematic, more like unintended outcome </w:t>
      </w:r>
      <w:r w:rsidR="002A6BD7" w:rsidRPr="002A6BD7">
        <w:rPr>
          <w:rStyle w:val="normaltextrun"/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(Note: hard to hear everything Khaleel said here)</w:t>
      </w:r>
    </w:p>
    <w:p w14:paraId="6A943BE4" w14:textId="697880B7" w:rsidR="00751D08" w:rsidRPr="00E0348B" w:rsidRDefault="00751D08" w:rsidP="00751D08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Faulty to show </w:t>
      </w:r>
      <w:r w:rsidR="002A6BD7"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causal</w:t>
      </w: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relationship between contact with </w:t>
      </w:r>
      <w:r w:rsidR="002A6B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SB</w:t>
      </w: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WC and increase in grades, but using ABCs is a method of early screening in schools for youth who may </w:t>
      </w:r>
      <w:proofErr w:type="gramStart"/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be in need of</w:t>
      </w:r>
      <w:proofErr w:type="gramEnd"/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services in lieu of a formal tool – these are the measurements that schools are interested in. How can this be integrated to data conversations? </w:t>
      </w:r>
    </w:p>
    <w:p w14:paraId="26C7EE57" w14:textId="74009E0F" w:rsidR="00751D08" w:rsidRPr="00E0348B" w:rsidRDefault="00751D08" w:rsidP="00751D08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If we don’t look at try and figure out potential </w:t>
      </w:r>
      <w:proofErr w:type="gramStart"/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correlations</w:t>
      </w:r>
      <w:proofErr w:type="gramEnd"/>
      <w:r w:rsidRPr="00E0348B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we’ll never know. Don’t necessarily need to report out</w:t>
      </w:r>
    </w:p>
    <w:p w14:paraId="16CEAC07" w14:textId="56BC9577" w:rsidR="003E38FC" w:rsidRDefault="003E38FC" w:rsidP="003E38FC">
      <w:pPr>
        <w:pStyle w:val="paragraph"/>
        <w:numPr>
          <w:ilvl w:val="2"/>
          <w:numId w:val="27"/>
        </w:numPr>
        <w:spacing w:before="12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Can data shed light on the impact on emergency visits, medical aid unit types of visits for certain populations?</w:t>
      </w:r>
      <w:r w:rsidRPr="00F543DF">
        <w:rPr>
          <w:rStyle w:val="normaltextrun"/>
        </w:rPr>
        <w:t> </w:t>
      </w:r>
    </w:p>
    <w:p w14:paraId="3616D873" w14:textId="77777777" w:rsidR="00430C73" w:rsidRPr="00430C73" w:rsidRDefault="00751D08" w:rsidP="00751D08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A6B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ER visits for asthma – challenging to make </w:t>
      </w:r>
      <w:r w:rsidR="004C63A1" w:rsidRPr="002A6B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connection because kids who access</w:t>
      </w:r>
      <w:r w:rsidR="00430C73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SBWCs</w:t>
      </w:r>
      <w:r w:rsidR="004C63A1" w:rsidRPr="002A6B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are “sicker” kids. They are starting off at a higher level.</w:t>
      </w:r>
    </w:p>
    <w:p w14:paraId="1BBEE55A" w14:textId="019B1667" w:rsidR="00751D08" w:rsidRPr="002A6BD7" w:rsidRDefault="004C63A1" w:rsidP="00430C73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A6B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When you find no difference, people would assume there is no </w:t>
      </w:r>
      <w:r w:rsidR="00430C73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benefit of SBWC</w:t>
      </w:r>
      <w:r w:rsidRPr="002A6B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. But</w:t>
      </w:r>
      <w:r w:rsidR="00430C73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no difference</w:t>
      </w:r>
      <w:r w:rsidRPr="002A6B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could be a good thing—</w:t>
      </w:r>
      <w:r w:rsidR="00430C73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it means rates have not increased</w:t>
      </w:r>
      <w:r w:rsidRPr="002A6BD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(although lower level would be ideal) </w:t>
      </w:r>
    </w:p>
    <w:p w14:paraId="4ECCAF73" w14:textId="435E9502" w:rsidR="003E38FC" w:rsidRDefault="003E38FC" w:rsidP="003E38FC">
      <w:pPr>
        <w:pStyle w:val="paragraph"/>
        <w:numPr>
          <w:ilvl w:val="2"/>
          <w:numId w:val="27"/>
        </w:numPr>
        <w:spacing w:before="12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Is it possible to do some data mapping to see what instruments are used across SBWCs and whether they’re similar, current expectations and how data flows?</w:t>
      </w:r>
      <w:r w:rsidRPr="00F543DF">
        <w:rPr>
          <w:rStyle w:val="normaltextrun"/>
        </w:rPr>
        <w:t> </w:t>
      </w:r>
    </w:p>
    <w:p w14:paraId="4D80B990" w14:textId="0361C2E7" w:rsidR="004C63A1" w:rsidRPr="00956494" w:rsidRDefault="004C63A1" w:rsidP="004C63A1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Policy subcommittee – all use different billing systems and EHRs (</w:t>
      </w:r>
      <w:r w:rsidR="0021126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Bay Health, Christiana</w:t>
      </w: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etc.) and these systems do not </w:t>
      </w:r>
      <w:r w:rsidR="00211261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communicate effectively</w:t>
      </w: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to pediatricians</w:t>
      </w:r>
    </w:p>
    <w:p w14:paraId="365B206C" w14:textId="25723AD3" w:rsidR="004C63A1" w:rsidRPr="00956494" w:rsidRDefault="004C63A1" w:rsidP="004C63A1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Have something standardized across the board. How can you get good data if everyone is doing their own thing? </w:t>
      </w:r>
    </w:p>
    <w:p w14:paraId="2A476C26" w14:textId="19413468" w:rsidR="004C63A1" w:rsidRPr="00956494" w:rsidRDefault="004C63A1" w:rsidP="004C63A1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Transferring of data is also concern among medical sponsors</w:t>
      </w:r>
    </w:p>
    <w:p w14:paraId="758435B9" w14:textId="07DCFD9F" w:rsidR="004C63A1" w:rsidRPr="00956494" w:rsidRDefault="004C63A1" w:rsidP="004C63A1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Had centralized database, as they </w:t>
      </w:r>
      <w:r w:rsidR="00211261"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transitioned,</w:t>
      </w: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they wanted to be able to capture all the same data from the tables in that database. </w:t>
      </w:r>
    </w:p>
    <w:p w14:paraId="7B1AD589" w14:textId="77777777" w:rsidR="00211261" w:rsidRPr="00211261" w:rsidRDefault="004C63A1" w:rsidP="00211261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Some medical sponsors are doing a good job, others </w:t>
      </w:r>
      <w:proofErr w:type="gramStart"/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aren’t able to</w:t>
      </w:r>
      <w:proofErr w:type="gramEnd"/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transfer data at all because of security concerns. </w:t>
      </w:r>
    </w:p>
    <w:p w14:paraId="77EFBF56" w14:textId="0DB40195" w:rsidR="004C63A1" w:rsidRPr="00956494" w:rsidRDefault="004C63A1" w:rsidP="00211261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Challenges—data with blanks because their systems can’t fill in the field they requested. Out of 32 sites, data collection is a mess (in terms of collection and transmittal) </w:t>
      </w:r>
    </w:p>
    <w:p w14:paraId="22C5793C" w14:textId="4EA5842A" w:rsidR="004C63A1" w:rsidRPr="00956494" w:rsidRDefault="009248AD" w:rsidP="004C63A1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P</w:t>
      </w:r>
      <w:r w:rsidR="004C63A1"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art of what this group can do is T- up what </w:t>
      </w: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needs to be done from data standpoint so these questions can be asked on regular basis—develop data system that allows us to collect what we want (Least Common </w:t>
      </w: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lastRenderedPageBreak/>
        <w:t xml:space="preserve">Denominator data that we need to collect that we can all agree that we need to conduct evaluations) </w:t>
      </w:r>
      <w:r w:rsidR="004C63A1"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210A11CD" w14:textId="77777777" w:rsidR="002726AA" w:rsidRPr="002726AA" w:rsidRDefault="004C63A1" w:rsidP="004C63A1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When you start talking about elementary schools and how they are funded (District or DPH)—you will have diff inputs for data</w:t>
      </w:r>
      <w:r w:rsidR="002726AA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which might be a concern as well</w:t>
      </w: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. </w:t>
      </w:r>
    </w:p>
    <w:p w14:paraId="02EDABE9" w14:textId="71598A26" w:rsidR="004C63A1" w:rsidRPr="002726AA" w:rsidRDefault="002726AA" w:rsidP="004C63A1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Everyone will have to agree to c</w:t>
      </w:r>
      <w:r w:rsidR="004C63A1"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ore data </w:t>
      </w: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sets that</w:t>
      </w:r>
      <w:r w:rsidR="004C63A1"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have both internal and external value</w:t>
      </w:r>
    </w:p>
    <w:p w14:paraId="1315CF37" w14:textId="1A376CD0" w:rsidR="002726AA" w:rsidRPr="00956494" w:rsidRDefault="002726AA" w:rsidP="004C63A1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If districts want more, something additional will have to be figured out </w:t>
      </w:r>
    </w:p>
    <w:p w14:paraId="20DD3DD3" w14:textId="54A66573" w:rsidR="004C63A1" w:rsidRPr="00956494" w:rsidRDefault="004C63A1" w:rsidP="004C63A1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Struggle that medical sponsors had: where do you go to get that </w:t>
      </w:r>
      <w:proofErr w:type="gramStart"/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data-set</w:t>
      </w:r>
      <w:proofErr w:type="gramEnd"/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?</w:t>
      </w:r>
      <w:r w:rsidR="00324219"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DPH gets blank values because some schools can</w:t>
      </w:r>
      <w:r w:rsidR="002726AA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’</w:t>
      </w:r>
      <w:r w:rsidR="00324219"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t even pull the data requested </w:t>
      </w: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384455D2" w14:textId="0FBA1A06" w:rsidR="002726AA" w:rsidRDefault="00324219" w:rsidP="002726AA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When you start working with some of the bigger health systems</w:t>
      </w:r>
      <w:r w:rsidR="002726AA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(e.g. Christiana)</w:t>
      </w: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, their systems can digitally map</w:t>
      </w:r>
      <w:r w:rsidR="002726AA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data points</w:t>
      </w:r>
      <w:r w:rsidRPr="00956494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and integrate different data points together even without uniform data set </w:t>
      </w:r>
    </w:p>
    <w:p w14:paraId="71851757" w14:textId="3884F1AC" w:rsidR="002726AA" w:rsidRPr="002726AA" w:rsidRDefault="002726AA" w:rsidP="002726AA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2726AA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Don’t write off the ability to map if we need it</w:t>
      </w: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 (state might not have resources to come up with whole new data system)</w:t>
      </w:r>
    </w:p>
    <w:p w14:paraId="4BBC485A" w14:textId="36743BD3" w:rsidR="00324219" w:rsidRPr="002726AA" w:rsidRDefault="002726AA" w:rsidP="004C63A1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When it comes to data collection, also remember insurance company and insurance codes—the following entities will want this data: </w:t>
      </w:r>
    </w:p>
    <w:p w14:paraId="60D0AACC" w14:textId="37E7B5C7" w:rsidR="002726AA" w:rsidRPr="002726AA" w:rsidRDefault="002726AA" w:rsidP="002726AA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Health providers</w:t>
      </w:r>
    </w:p>
    <w:p w14:paraId="4F3556F4" w14:textId="7876AB81" w:rsidR="002726AA" w:rsidRPr="002726AA" w:rsidRDefault="002726AA" w:rsidP="002726AA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SBWC providers</w:t>
      </w:r>
    </w:p>
    <w:p w14:paraId="7B9E68AC" w14:textId="4F58FDAA" w:rsidR="002726AA" w:rsidRPr="002726AA" w:rsidRDefault="002726AA" w:rsidP="002726AA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Insurance companies </w:t>
      </w:r>
    </w:p>
    <w:p w14:paraId="24083016" w14:textId="2427EF49" w:rsidR="002726AA" w:rsidRPr="002726AA" w:rsidRDefault="002726AA" w:rsidP="002726AA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Independent pediatricians </w:t>
      </w:r>
    </w:p>
    <w:p w14:paraId="2B1390FF" w14:textId="11F8DBDE" w:rsidR="002726AA" w:rsidRPr="00956494" w:rsidRDefault="002726AA" w:rsidP="002726AA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[Khaleel brought up Oregon </w:t>
      </w:r>
      <w:r w:rsidR="006C20C2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 xml:space="preserve">example here and emailed it to us for best practices compilation] </w:t>
      </w:r>
    </w:p>
    <w:p w14:paraId="1D739EE1" w14:textId="144C641B" w:rsidR="003E38FC" w:rsidRDefault="003E38FC" w:rsidP="003E38FC">
      <w:pPr>
        <w:pStyle w:val="paragraph"/>
        <w:numPr>
          <w:ilvl w:val="2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Identify minimum data/benchmark performance indicators</w:t>
      </w:r>
      <w:r w:rsidRPr="003018F4">
        <w:rPr>
          <w:rStyle w:val="normaltextrun"/>
          <w:rFonts w:ascii="Calibri" w:hAnsi="Calibri" w:cs="Calibri"/>
          <w:sz w:val="22"/>
          <w:szCs w:val="22"/>
        </w:rPr>
        <w:t xml:space="preserve"> and ideal measures to track outcomes for students served by SBHCs K-12 </w:t>
      </w:r>
    </w:p>
    <w:p w14:paraId="1E610D07" w14:textId="09F63924" w:rsidR="00324219" w:rsidRDefault="00324219" w:rsidP="00324219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Shares process indicators across levels: </w:t>
      </w:r>
    </w:p>
    <w:p w14:paraId="45FAD426" w14:textId="2CE24CD3" w:rsidR="00324219" w:rsidRDefault="00324219" w:rsidP="00324219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Visits </w:t>
      </w:r>
    </w:p>
    <w:p w14:paraId="00A9FE2B" w14:textId="27C3AE8E" w:rsidR="00324219" w:rsidRDefault="00324219" w:rsidP="00324219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Diagnoses</w:t>
      </w:r>
    </w:p>
    <w:p w14:paraId="190C54E1" w14:textId="5DCBEE3B" w:rsidR="00324219" w:rsidRDefault="00324219" w:rsidP="00324219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Risk assessments </w:t>
      </w:r>
    </w:p>
    <w:p w14:paraId="737F3BBA" w14:textId="72111782" w:rsidR="00324219" w:rsidRDefault="00324219" w:rsidP="00324219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Unduplicated users and those who’ve </w:t>
      </w:r>
      <w:proofErr w:type="gramStart"/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been</w:t>
      </w:r>
      <w:proofErr w:type="gramEnd"/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seen more than once, particularly for MH visits </w:t>
      </w:r>
    </w:p>
    <w:p w14:paraId="6FFD2F88" w14:textId="2A664E3A" w:rsidR="00324219" w:rsidRDefault="00324219" w:rsidP="00324219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Data elements required by PH</w:t>
      </w:r>
    </w:p>
    <w:p w14:paraId="31C5671B" w14:textId="14BFD3BC" w:rsidR="00324219" w:rsidRDefault="00324219" w:rsidP="00324219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(spreadsheet that Chris and Kathy were talking about)</w:t>
      </w:r>
    </w:p>
    <w:p w14:paraId="1E2A905E" w14:textId="53F32BDE" w:rsidR="00324219" w:rsidRDefault="00324219" w:rsidP="00324219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D</w:t>
      </w:r>
      <w:r w:rsidRPr="00324219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escriptive data across all levels; characteristics of the youth </w:t>
      </w:r>
      <w:proofErr w:type="gramStart"/>
      <w:r w:rsidRPr="00324219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served,</w:t>
      </w:r>
      <w:proofErr w:type="gramEnd"/>
      <w:r w:rsidRPr="00324219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characteristics of the services provided</w:t>
      </w:r>
    </w:p>
    <w:p w14:paraId="32E6CAD3" w14:textId="4F9D0F8C" w:rsidR="00324219" w:rsidRDefault="00CE46E7" w:rsidP="00324219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Can you track the user to the use over time? </w:t>
      </w:r>
    </w:p>
    <w:p w14:paraId="576A5077" w14:textId="157B0D0F" w:rsidR="00CE46E7" w:rsidRDefault="00CE46E7" w:rsidP="00CE46E7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lastRenderedPageBreak/>
        <w:t xml:space="preserve">Kathy said somewhere you can drill down detail and get out who the kids are, but the provider knows who the kids are </w:t>
      </w:r>
    </w:p>
    <w:p w14:paraId="2CB0B3B8" w14:textId="5DC3DE4F" w:rsidR="00CE46E7" w:rsidRDefault="00CE46E7" w:rsidP="00CE46E7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Wherever possible, they try to utilize standardized measures. Use national performance </w:t>
      </w:r>
      <w:r w:rsid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measures</w:t>
      </w: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that span across all grades. </w:t>
      </w:r>
    </w:p>
    <w:p w14:paraId="340F02EB" w14:textId="3097DD6D" w:rsidR="00CE46E7" w:rsidRDefault="00CE46E7" w:rsidP="00CE46E7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From literature, there are very low specific measures. Part of the challenge is that it focuses a lot on provisional services </w:t>
      </w:r>
    </w:p>
    <w:p w14:paraId="4D165DE9" w14:textId="7271F84E" w:rsidR="00CE46E7" w:rsidRPr="0040399E" w:rsidRDefault="00CE46E7" w:rsidP="00CE46E7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 w:rsidRP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Types of services provided (particularly elementary)</w:t>
      </w:r>
    </w:p>
    <w:p w14:paraId="194FBA9B" w14:textId="6D97FA40" w:rsidR="00CE46E7" w:rsidRPr="0040399E" w:rsidRDefault="00CE46E7" w:rsidP="00CE46E7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 w:rsidRP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Screenings </w:t>
      </w:r>
    </w:p>
    <w:p w14:paraId="7A684ED9" w14:textId="75F5D277" w:rsidR="00CE46E7" w:rsidRPr="0040399E" w:rsidRDefault="00CE46E7" w:rsidP="00CE46E7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 w:rsidRP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Asthma</w:t>
      </w:r>
    </w:p>
    <w:p w14:paraId="72982008" w14:textId="25EB8A33" w:rsidR="00CE46E7" w:rsidRPr="0040399E" w:rsidRDefault="00CE46E7" w:rsidP="00CE46E7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 w:rsidRP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Risk: all SBWCs do RAPS</w:t>
      </w:r>
      <w:r w:rsidR="0040399E" w:rsidRP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(?)</w:t>
      </w:r>
      <w:r w:rsidRP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. Diff raps for MS than HS. Bright Futures—for elementary, if their risk is a little different, than how you address the risks would be different as well</w:t>
      </w:r>
    </w:p>
    <w:p w14:paraId="4016E71E" w14:textId="1C2F68A9" w:rsidR="00CE46E7" w:rsidRPr="0040399E" w:rsidRDefault="00CE46E7" w:rsidP="00CE46E7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 w:rsidRP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Delaware School Survey</w:t>
      </w:r>
    </w:p>
    <w:p w14:paraId="61CEE45F" w14:textId="696D772C" w:rsidR="00CE46E7" w:rsidRPr="0040399E" w:rsidRDefault="00CE46E7" w:rsidP="00CE46E7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 w:rsidRP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Component of how students engage with WCs and for what sort of services </w:t>
      </w:r>
    </w:p>
    <w:p w14:paraId="2781B9DD" w14:textId="13EF1C69" w:rsidR="00CE46E7" w:rsidRPr="0040399E" w:rsidRDefault="00CE46E7" w:rsidP="00CE46E7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 w:rsidRP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Referrals </w:t>
      </w:r>
    </w:p>
    <w:p w14:paraId="5721B399" w14:textId="6A99E7EA" w:rsidR="00CE46E7" w:rsidRDefault="001728F6" w:rsidP="00CE46E7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Both e</w:t>
      </w:r>
      <w:r w:rsidR="00CE46E7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xternal referrals </w:t>
      </w: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and</w:t>
      </w:r>
      <w:r w:rsidR="00CE46E7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 inter</w:t>
      </w: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n</w:t>
      </w:r>
      <w:r w:rsidR="00CE46E7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al referrals (from the school like Resource Officer or Teacher</w:t>
      </w:r>
      <w:r w:rsid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)</w:t>
      </w:r>
    </w:p>
    <w:p w14:paraId="4DAD0499" w14:textId="480B29D2" w:rsidR="001728F6" w:rsidRDefault="001728F6" w:rsidP="001728F6">
      <w:pPr>
        <w:pStyle w:val="paragraph"/>
        <w:numPr>
          <w:ilvl w:val="6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Currently not required, so we don’t know how it is being captured</w:t>
      </w:r>
    </w:p>
    <w:p w14:paraId="6F502AD6" w14:textId="7D7202E5" w:rsidR="001728F6" w:rsidRDefault="001728F6" w:rsidP="001728F6">
      <w:pPr>
        <w:pStyle w:val="paragraph"/>
        <w:numPr>
          <w:ilvl w:val="6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Physician referrals – helps tie the WC and treatment together so there is more of continuum </w:t>
      </w:r>
    </w:p>
    <w:p w14:paraId="19E5F418" w14:textId="384CDF51" w:rsidR="00C339D6" w:rsidRDefault="00C339D6" w:rsidP="001728F6">
      <w:pPr>
        <w:pStyle w:val="paragraph"/>
        <w:numPr>
          <w:ilvl w:val="6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 xml:space="preserve">Referrals to MH providers </w:t>
      </w:r>
    </w:p>
    <w:p w14:paraId="1B6D57E0" w14:textId="503D1396" w:rsidR="00CE46E7" w:rsidRDefault="00CE46E7" w:rsidP="00CE46E7">
      <w:pPr>
        <w:pStyle w:val="paragraph"/>
        <w:numPr>
          <w:ilvl w:val="5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Define referrals wanted when setting up recs</w:t>
      </w:r>
    </w:p>
    <w:p w14:paraId="52253842" w14:textId="1BBB3B76" w:rsidR="00CE46E7" w:rsidRDefault="00C339D6" w:rsidP="00C339D6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School based data (behavioral, linkage between what students are going in for and how it’s improving what is going on in the school</w:t>
      </w:r>
      <w:r w:rsidR="0040399E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)</w:t>
      </w:r>
    </w:p>
    <w:p w14:paraId="41507DBB" w14:textId="78200296" w:rsidR="00324219" w:rsidRDefault="00324219" w:rsidP="00324219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 w:rsidRPr="00324219"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Elementary-</w:t>
      </w:r>
    </w:p>
    <w:p w14:paraId="51A90C51" w14:textId="05A71069" w:rsidR="00324219" w:rsidRPr="00324219" w:rsidRDefault="00324219" w:rsidP="00324219">
      <w:pPr>
        <w:pStyle w:val="paragraph"/>
        <w:numPr>
          <w:ilvl w:val="4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  <w:sz w:val="22"/>
          <w:szCs w:val="22"/>
        </w:rPr>
      </w:pPr>
      <w:r>
        <w:rPr>
          <w:rStyle w:val="normaltextrun"/>
          <w:rFonts w:ascii="Calibri" w:hAnsi="Calibri" w:cs="Calibri"/>
          <w:color w:val="4472C4" w:themeColor="accent1"/>
          <w:sz w:val="22"/>
          <w:szCs w:val="22"/>
        </w:rPr>
        <w:t>Utilization rate</w:t>
      </w:r>
    </w:p>
    <w:p w14:paraId="77A2D7E1" w14:textId="4C4E0D8F" w:rsidR="003E38FC" w:rsidRPr="003018F4" w:rsidRDefault="003E38FC" w:rsidP="003E38FC">
      <w:pPr>
        <w:pStyle w:val="paragraph"/>
        <w:numPr>
          <w:ilvl w:val="2"/>
          <w:numId w:val="27"/>
        </w:numPr>
        <w:tabs>
          <w:tab w:val="num" w:pos="2250"/>
        </w:tabs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3018F4">
        <w:rPr>
          <w:rStyle w:val="normaltextrun"/>
          <w:rFonts w:asciiTheme="minorHAnsi" w:hAnsiTheme="minorHAnsi" w:cstheme="minorHAnsi"/>
          <w:sz w:val="22"/>
          <w:szCs w:val="22"/>
        </w:rPr>
        <w:t>To support development of strategic plan and evaluation plan: </w:t>
      </w:r>
      <w:r w:rsidR="00FB47C7" w:rsidRPr="00FB47C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Did not get to this question</w:t>
      </w:r>
    </w:p>
    <w:p w14:paraId="3D40D125" w14:textId="77777777" w:rsidR="003E38FC" w:rsidRDefault="003E38FC" w:rsidP="003E38FC">
      <w:pPr>
        <w:pStyle w:val="paragraph"/>
        <w:numPr>
          <w:ilvl w:val="0"/>
          <w:numId w:val="21"/>
        </w:numPr>
        <w:tabs>
          <w:tab w:val="clear" w:pos="720"/>
          <w:tab w:val="num" w:pos="2250"/>
        </w:tabs>
        <w:spacing w:before="120" w:beforeAutospacing="0" w:after="0" w:afterAutospacing="0"/>
        <w:ind w:left="225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data do we want to capture?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A43C66" w14:textId="77777777" w:rsidR="003E38FC" w:rsidRDefault="003E38FC" w:rsidP="003E38FC">
      <w:pPr>
        <w:pStyle w:val="paragraph"/>
        <w:numPr>
          <w:ilvl w:val="0"/>
          <w:numId w:val="21"/>
        </w:numPr>
        <w:tabs>
          <w:tab w:val="clear" w:pos="720"/>
          <w:tab w:val="num" w:pos="2250"/>
        </w:tabs>
        <w:spacing w:before="120" w:beforeAutospacing="0" w:after="0" w:afterAutospacing="0"/>
        <w:ind w:left="225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data is currently available?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AE0B98" w14:textId="77777777" w:rsidR="003E38FC" w:rsidRDefault="003E38FC" w:rsidP="003E38FC">
      <w:pPr>
        <w:pStyle w:val="paragraph"/>
        <w:numPr>
          <w:ilvl w:val="0"/>
          <w:numId w:val="21"/>
        </w:numPr>
        <w:tabs>
          <w:tab w:val="clear" w:pos="720"/>
          <w:tab w:val="num" w:pos="2250"/>
        </w:tabs>
        <w:spacing w:before="120" w:beforeAutospacing="0" w:after="0" w:afterAutospacing="0"/>
        <w:ind w:left="225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data can medical sponsors provide?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FF877A" w14:textId="66D18147" w:rsidR="003E38FC" w:rsidRDefault="003E38FC" w:rsidP="003E38FC">
      <w:pPr>
        <w:pStyle w:val="paragraph"/>
        <w:numPr>
          <w:ilvl w:val="2"/>
          <w:numId w:val="27"/>
        </w:numPr>
        <w:tabs>
          <w:tab w:val="num" w:pos="2250"/>
        </w:tabs>
        <w:spacing w:before="120" w:beforeAutospacing="0" w:after="0" w:afterAutospacing="0"/>
        <w:textAlignment w:val="baseline"/>
        <w:rPr>
          <w:rStyle w:val="normaltextrun"/>
        </w:rPr>
      </w:pPr>
      <w:r w:rsidRPr="00FB47C7">
        <w:rPr>
          <w:rStyle w:val="normaltextrun"/>
          <w:rFonts w:ascii="Calibri" w:hAnsi="Calibri" w:cs="Calibri"/>
          <w:sz w:val="22"/>
          <w:szCs w:val="22"/>
        </w:rPr>
        <w:lastRenderedPageBreak/>
        <w:t>What gaps in data collection and reporting are there between medical sponsors and the state?  </w:t>
      </w:r>
      <w:r w:rsidRPr="00FB47C7">
        <w:rPr>
          <w:rStyle w:val="normaltextrun"/>
        </w:rPr>
        <w:t> </w:t>
      </w:r>
    </w:p>
    <w:p w14:paraId="0E595E15" w14:textId="68E880CC" w:rsidR="00FB47C7" w:rsidRPr="00FB47C7" w:rsidRDefault="00FB47C7" w:rsidP="00FB47C7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</w:pPr>
      <w:r w:rsidRPr="00FB47C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Did not get to this question</w:t>
      </w:r>
    </w:p>
    <w:p w14:paraId="480AC2D9" w14:textId="77777777" w:rsidR="00FB47C7" w:rsidRDefault="003E38FC" w:rsidP="003E38FC">
      <w:pPr>
        <w:pStyle w:val="paragraph"/>
        <w:numPr>
          <w:ilvl w:val="2"/>
          <w:numId w:val="27"/>
        </w:numPr>
        <w:tabs>
          <w:tab w:val="num" w:pos="2250"/>
        </w:tabs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B47C7">
        <w:rPr>
          <w:rStyle w:val="normaltextrun"/>
          <w:rFonts w:ascii="Calibri" w:hAnsi="Calibri" w:cs="Calibri"/>
          <w:sz w:val="22"/>
          <w:szCs w:val="22"/>
        </w:rPr>
        <w:t>What models are available from wellness centers in the state and out of state that DE can learn from and apply?  </w:t>
      </w:r>
    </w:p>
    <w:p w14:paraId="09FD5B8B" w14:textId="408530DA" w:rsidR="003E38FC" w:rsidRPr="00FB47C7" w:rsidRDefault="00FB47C7" w:rsidP="00FB47C7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FB47C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Did not get to this question</w:t>
      </w:r>
      <w:r w:rsidR="003E38FC" w:rsidRPr="00FB47C7">
        <w:rPr>
          <w:rStyle w:val="eop"/>
          <w:rFonts w:ascii="Calibri" w:hAnsi="Calibri" w:cs="Calibri"/>
          <w:sz w:val="22"/>
          <w:szCs w:val="22"/>
        </w:rPr>
        <w:t> </w:t>
      </w:r>
    </w:p>
    <w:p w14:paraId="57AD9FAA" w14:textId="50B00345" w:rsidR="003E38FC" w:rsidRDefault="003E38FC" w:rsidP="003E38FC">
      <w:pPr>
        <w:pStyle w:val="paragraph"/>
        <w:numPr>
          <w:ilvl w:val="2"/>
          <w:numId w:val="27"/>
        </w:numPr>
        <w:tabs>
          <w:tab w:val="num" w:pos="2250"/>
        </w:tabs>
        <w:spacing w:before="12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47C7">
        <w:rPr>
          <w:rStyle w:val="normaltextrun"/>
          <w:rFonts w:ascii="Calibri" w:hAnsi="Calibri" w:cs="Calibri"/>
          <w:sz w:val="22"/>
          <w:szCs w:val="22"/>
        </w:rPr>
        <w:t>How can EHRs be useful tools for data reporting &amp; evaluation in SBWCs?  </w:t>
      </w:r>
      <w:r w:rsidRPr="00FB47C7">
        <w:rPr>
          <w:rStyle w:val="eop"/>
          <w:rFonts w:ascii="Calibri" w:hAnsi="Calibri" w:cs="Calibri"/>
          <w:sz w:val="22"/>
          <w:szCs w:val="22"/>
        </w:rPr>
        <w:t> </w:t>
      </w:r>
    </w:p>
    <w:p w14:paraId="0B7A535F" w14:textId="0CC8B36A" w:rsidR="00FB47C7" w:rsidRPr="00FB47C7" w:rsidRDefault="00FB47C7" w:rsidP="00FB47C7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FB47C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Did not get to this question</w:t>
      </w:r>
    </w:p>
    <w:p w14:paraId="56F33654" w14:textId="0A979A4A" w:rsidR="003E38FC" w:rsidRDefault="003E38FC" w:rsidP="003E38FC">
      <w:pPr>
        <w:pStyle w:val="paragraph"/>
        <w:numPr>
          <w:ilvl w:val="2"/>
          <w:numId w:val="27"/>
        </w:numPr>
        <w:tabs>
          <w:tab w:val="num" w:pos="2250"/>
        </w:tabs>
        <w:spacing w:before="120" w:beforeAutospacing="0" w:after="0" w:afterAutospacing="0"/>
        <w:textAlignment w:val="baseline"/>
        <w:rPr>
          <w:rStyle w:val="normaltextrun"/>
        </w:rPr>
      </w:pPr>
      <w:r w:rsidRPr="00FB47C7">
        <w:rPr>
          <w:rStyle w:val="normaltextrun"/>
          <w:rFonts w:ascii="Calibri" w:hAnsi="Calibri" w:cs="Calibri"/>
          <w:sz w:val="22"/>
          <w:szCs w:val="22"/>
        </w:rPr>
        <w:t>Joint application of FERPA and HIPAA – how is that working or how could it work?  </w:t>
      </w:r>
      <w:r w:rsidRPr="00FB47C7">
        <w:rPr>
          <w:rStyle w:val="normaltextrun"/>
        </w:rPr>
        <w:t> </w:t>
      </w:r>
    </w:p>
    <w:p w14:paraId="7506C5DF" w14:textId="76D0D0E8" w:rsidR="00FB47C7" w:rsidRPr="00FB47C7" w:rsidRDefault="00FB47C7" w:rsidP="00FB47C7">
      <w:pPr>
        <w:pStyle w:val="paragraph"/>
        <w:numPr>
          <w:ilvl w:val="3"/>
          <w:numId w:val="27"/>
        </w:numPr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FB47C7">
        <w:rPr>
          <w:rStyle w:val="normaltextrun"/>
          <w:rFonts w:asciiTheme="minorHAnsi" w:hAnsiTheme="minorHAnsi" w:cstheme="minorHAnsi"/>
          <w:color w:val="4472C4" w:themeColor="accent1"/>
          <w:sz w:val="22"/>
          <w:szCs w:val="22"/>
        </w:rPr>
        <w:t>Did not get to this question</w:t>
      </w:r>
    </w:p>
    <w:p w14:paraId="2801A33B" w14:textId="4138E1E6" w:rsidR="003E38FC" w:rsidRPr="00C339D6" w:rsidRDefault="003E38FC" w:rsidP="00390444">
      <w:pPr>
        <w:numPr>
          <w:ilvl w:val="0"/>
          <w:numId w:val="1"/>
        </w:numPr>
        <w:spacing w:after="0" w:line="240" w:lineRule="auto"/>
        <w:ind w:left="810" w:firstLine="0"/>
        <w:textAlignment w:val="baseline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Adjournment &amp; Next Steps</w:t>
      </w:r>
    </w:p>
    <w:p w14:paraId="3E3F094D" w14:textId="6DD93E9C" w:rsidR="00C339D6" w:rsidRPr="00FB47C7" w:rsidRDefault="00C339D6" w:rsidP="00C339D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FB47C7">
        <w:rPr>
          <w:rFonts w:ascii="Calibri" w:eastAsia="Times New Roman" w:hAnsi="Calibri" w:cs="Calibri"/>
          <w:color w:val="4472C4" w:themeColor="accent1"/>
        </w:rPr>
        <w:t>Be prepared to discuss lit review at next meeting</w:t>
      </w:r>
    </w:p>
    <w:p w14:paraId="4243C768" w14:textId="3A5CF88F" w:rsidR="00C339D6" w:rsidRPr="00FB47C7" w:rsidRDefault="00C339D6" w:rsidP="00C339D6">
      <w:pPr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FB47C7">
        <w:rPr>
          <w:rFonts w:ascii="Calibri" w:eastAsia="Times New Roman" w:hAnsi="Calibri" w:cs="Calibri"/>
          <w:color w:val="4472C4" w:themeColor="accent1"/>
        </w:rPr>
        <w:t>We will send out the compilation grid that we put together from national review of best practices/data</w:t>
      </w:r>
      <w:bookmarkStart w:id="0" w:name="_GoBack"/>
      <w:bookmarkEnd w:id="0"/>
    </w:p>
    <w:p w14:paraId="160D2C4F" w14:textId="77777777" w:rsidR="003E38FC" w:rsidRPr="00390444" w:rsidRDefault="003E38FC" w:rsidP="003E38FC">
      <w:pPr>
        <w:spacing w:after="0" w:line="240" w:lineRule="auto"/>
        <w:ind w:left="810"/>
        <w:textAlignment w:val="baseline"/>
        <w:rPr>
          <w:rFonts w:ascii="Calibri" w:eastAsia="Times New Roman" w:hAnsi="Calibri" w:cs="Calibri"/>
          <w:sz w:val="32"/>
          <w:szCs w:val="32"/>
        </w:rPr>
      </w:pPr>
    </w:p>
    <w:p w14:paraId="2AD3B7E2" w14:textId="77777777" w:rsidR="002D7301" w:rsidRDefault="002D7301"/>
    <w:sectPr w:rsidR="002D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820"/>
    <w:multiLevelType w:val="multilevel"/>
    <w:tmpl w:val="5A587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9355B3"/>
    <w:multiLevelType w:val="multilevel"/>
    <w:tmpl w:val="F82C3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F4226E"/>
    <w:multiLevelType w:val="multilevel"/>
    <w:tmpl w:val="FCB2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270EE"/>
    <w:multiLevelType w:val="multilevel"/>
    <w:tmpl w:val="4532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DD53D7"/>
    <w:multiLevelType w:val="multilevel"/>
    <w:tmpl w:val="497C9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235D7"/>
    <w:multiLevelType w:val="multilevel"/>
    <w:tmpl w:val="4EC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205AC"/>
    <w:multiLevelType w:val="multilevel"/>
    <w:tmpl w:val="883CF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11A5FE1"/>
    <w:multiLevelType w:val="multilevel"/>
    <w:tmpl w:val="0E985B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1EF4CD3"/>
    <w:multiLevelType w:val="multilevel"/>
    <w:tmpl w:val="E13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330770"/>
    <w:multiLevelType w:val="multilevel"/>
    <w:tmpl w:val="07DCC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65F06EE"/>
    <w:multiLevelType w:val="multilevel"/>
    <w:tmpl w:val="EB6876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6A63BE1"/>
    <w:multiLevelType w:val="multilevel"/>
    <w:tmpl w:val="D3E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D6DAB"/>
    <w:multiLevelType w:val="multilevel"/>
    <w:tmpl w:val="EC949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82A57DD"/>
    <w:multiLevelType w:val="hybridMultilevel"/>
    <w:tmpl w:val="1CA415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407F28"/>
    <w:multiLevelType w:val="hybridMultilevel"/>
    <w:tmpl w:val="3BFA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6D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4472C4" w:themeColor="accent1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B5758"/>
    <w:multiLevelType w:val="multilevel"/>
    <w:tmpl w:val="115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052D2"/>
    <w:multiLevelType w:val="multilevel"/>
    <w:tmpl w:val="216C9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C4B2DDD"/>
    <w:multiLevelType w:val="multilevel"/>
    <w:tmpl w:val="70E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986A20"/>
    <w:multiLevelType w:val="multilevel"/>
    <w:tmpl w:val="25FEF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2D46894"/>
    <w:multiLevelType w:val="multilevel"/>
    <w:tmpl w:val="A084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E5557C"/>
    <w:multiLevelType w:val="hybridMultilevel"/>
    <w:tmpl w:val="800257E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5B982A18"/>
    <w:multiLevelType w:val="multilevel"/>
    <w:tmpl w:val="2188B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D861E03"/>
    <w:multiLevelType w:val="multilevel"/>
    <w:tmpl w:val="3C60A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F592D43"/>
    <w:multiLevelType w:val="multilevel"/>
    <w:tmpl w:val="6236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0C7862"/>
    <w:multiLevelType w:val="multilevel"/>
    <w:tmpl w:val="41F4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3D32B0"/>
    <w:multiLevelType w:val="multilevel"/>
    <w:tmpl w:val="AF0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B10DFF"/>
    <w:multiLevelType w:val="multilevel"/>
    <w:tmpl w:val="3390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FE37B3"/>
    <w:multiLevelType w:val="hybridMultilevel"/>
    <w:tmpl w:val="7194A0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C29"/>
    <w:multiLevelType w:val="multilevel"/>
    <w:tmpl w:val="461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"/>
  </w:num>
  <w:num w:numId="5">
    <w:abstractNumId w:val="16"/>
  </w:num>
  <w:num w:numId="6">
    <w:abstractNumId w:val="7"/>
  </w:num>
  <w:num w:numId="7">
    <w:abstractNumId w:val="12"/>
  </w:num>
  <w:num w:numId="8">
    <w:abstractNumId w:val="17"/>
  </w:num>
  <w:num w:numId="9">
    <w:abstractNumId w:val="28"/>
  </w:num>
  <w:num w:numId="10">
    <w:abstractNumId w:val="27"/>
  </w:num>
  <w:num w:numId="11">
    <w:abstractNumId w:val="25"/>
  </w:num>
  <w:num w:numId="12">
    <w:abstractNumId w:val="19"/>
  </w:num>
  <w:num w:numId="13">
    <w:abstractNumId w:val="15"/>
  </w:num>
  <w:num w:numId="14">
    <w:abstractNumId w:val="5"/>
  </w:num>
  <w:num w:numId="15">
    <w:abstractNumId w:val="8"/>
  </w:num>
  <w:num w:numId="16">
    <w:abstractNumId w:val="24"/>
  </w:num>
  <w:num w:numId="17">
    <w:abstractNumId w:val="23"/>
  </w:num>
  <w:num w:numId="18">
    <w:abstractNumId w:val="10"/>
  </w:num>
  <w:num w:numId="19">
    <w:abstractNumId w:val="0"/>
  </w:num>
  <w:num w:numId="20">
    <w:abstractNumId w:val="11"/>
  </w:num>
  <w:num w:numId="21">
    <w:abstractNumId w:val="18"/>
  </w:num>
  <w:num w:numId="22">
    <w:abstractNumId w:val="4"/>
  </w:num>
  <w:num w:numId="23">
    <w:abstractNumId w:val="21"/>
  </w:num>
  <w:num w:numId="24">
    <w:abstractNumId w:val="1"/>
  </w:num>
  <w:num w:numId="25">
    <w:abstractNumId w:val="6"/>
  </w:num>
  <w:num w:numId="26">
    <w:abstractNumId w:val="26"/>
  </w:num>
  <w:num w:numId="27">
    <w:abstractNumId w:val="14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4"/>
    <w:rsid w:val="00141C84"/>
    <w:rsid w:val="001728F6"/>
    <w:rsid w:val="00211261"/>
    <w:rsid w:val="002726AA"/>
    <w:rsid w:val="002A6BD7"/>
    <w:rsid w:val="002D7301"/>
    <w:rsid w:val="003018F4"/>
    <w:rsid w:val="00324219"/>
    <w:rsid w:val="00390444"/>
    <w:rsid w:val="003E38FC"/>
    <w:rsid w:val="0040399E"/>
    <w:rsid w:val="0040670C"/>
    <w:rsid w:val="00430C73"/>
    <w:rsid w:val="00457246"/>
    <w:rsid w:val="004C63A1"/>
    <w:rsid w:val="00512018"/>
    <w:rsid w:val="006C20C2"/>
    <w:rsid w:val="00751D08"/>
    <w:rsid w:val="00784331"/>
    <w:rsid w:val="00785E91"/>
    <w:rsid w:val="007E5ABA"/>
    <w:rsid w:val="008138AA"/>
    <w:rsid w:val="00842C9C"/>
    <w:rsid w:val="008722AA"/>
    <w:rsid w:val="008F754E"/>
    <w:rsid w:val="009248AD"/>
    <w:rsid w:val="00956494"/>
    <w:rsid w:val="00AA4C17"/>
    <w:rsid w:val="00B370F4"/>
    <w:rsid w:val="00BC2AEE"/>
    <w:rsid w:val="00C129EB"/>
    <w:rsid w:val="00C339D6"/>
    <w:rsid w:val="00CE46E7"/>
    <w:rsid w:val="00D11A6E"/>
    <w:rsid w:val="00E0348B"/>
    <w:rsid w:val="00F227DD"/>
    <w:rsid w:val="00F543DF"/>
    <w:rsid w:val="00FB47C7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62BC"/>
  <w15:chartTrackingRefBased/>
  <w15:docId w15:val="{38FD9212-C81B-4E19-9B3E-4F05ADCA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EB"/>
    <w:pPr>
      <w:ind w:left="720"/>
      <w:contextualSpacing/>
    </w:pPr>
  </w:style>
  <w:style w:type="paragraph" w:customStyle="1" w:styleId="paragraph">
    <w:name w:val="paragraph"/>
    <w:basedOn w:val="Normal"/>
    <w:rsid w:val="0078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4331"/>
  </w:style>
  <w:style w:type="character" w:customStyle="1" w:styleId="eop">
    <w:name w:val="eop"/>
    <w:basedOn w:val="DefaultParagraphFont"/>
    <w:rsid w:val="00784331"/>
  </w:style>
  <w:style w:type="character" w:styleId="Hyperlink">
    <w:name w:val="Hyperlink"/>
    <w:basedOn w:val="DefaultParagraphFont"/>
    <w:uiPriority w:val="99"/>
    <w:unhideWhenUsed/>
    <w:rsid w:val="004572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5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86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hrives.com/sb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ealthmanagement.zoom.us/j/91271393398?pwd=ZlhQTC9qYnB3aklhU3NWZWFVTjFJ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Thomas-Henkel</dc:creator>
  <cp:keywords/>
  <dc:description/>
  <cp:lastModifiedBy>Janya Tagat</cp:lastModifiedBy>
  <cp:revision>15</cp:revision>
  <dcterms:created xsi:type="dcterms:W3CDTF">2020-09-29T17:52:00Z</dcterms:created>
  <dcterms:modified xsi:type="dcterms:W3CDTF">2020-09-29T18:55:00Z</dcterms:modified>
</cp:coreProperties>
</file>